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02A6E" w:rsidRDefault="00102A6E" w:rsidP="00102A6E">
      <w:pPr>
        <w:jc w:val="both"/>
        <w:rPr>
          <w:rFonts w:ascii="Times New Roman" w:hAnsi="Times New Roman"/>
          <w:sz w:val="24"/>
        </w:rPr>
      </w:pPr>
      <w:r>
        <w:rPr>
          <w:rFonts w:ascii="Times New Roman" w:hAnsi="Times New Roman"/>
          <w:sz w:val="24"/>
        </w:rPr>
        <w:t>Mini-briefs are divided into five parts: Citation, Introduction, Summary, Majority Opinion(s) and Dissenting Opinion(s).</w:t>
      </w:r>
    </w:p>
    <w:p w:rsidR="00102A6E" w:rsidRDefault="00102A6E" w:rsidP="00102A6E">
      <w:pPr>
        <w:jc w:val="both"/>
        <w:rPr>
          <w:rFonts w:ascii="Times New Roman" w:hAnsi="Times New Roman"/>
          <w:sz w:val="24"/>
        </w:rPr>
      </w:pPr>
    </w:p>
    <w:p w:rsidR="00102A6E" w:rsidRDefault="00102A6E" w:rsidP="00102A6E">
      <w:pPr>
        <w:numPr>
          <w:ilvl w:val="0"/>
          <w:numId w:val="1"/>
        </w:numPr>
        <w:tabs>
          <w:tab w:val="clear" w:pos="1440"/>
          <w:tab w:val="num" w:pos="900"/>
        </w:tabs>
        <w:ind w:left="900" w:hanging="540"/>
        <w:jc w:val="both"/>
        <w:rPr>
          <w:rFonts w:ascii="Times New Roman" w:hAnsi="Times New Roman"/>
          <w:sz w:val="24"/>
        </w:rPr>
      </w:pPr>
      <w:r>
        <w:rPr>
          <w:rFonts w:ascii="Times New Roman" w:hAnsi="Times New Roman"/>
          <w:sz w:val="24"/>
        </w:rPr>
        <w:t>The Citation provides reference numbers and sources for a case, including defendant and plaintiff names.</w:t>
      </w:r>
    </w:p>
    <w:p w:rsidR="00102A6E" w:rsidRDefault="00102A6E" w:rsidP="00102A6E">
      <w:pPr>
        <w:numPr>
          <w:ilvl w:val="0"/>
          <w:numId w:val="1"/>
        </w:numPr>
        <w:tabs>
          <w:tab w:val="clear" w:pos="1440"/>
          <w:tab w:val="num" w:pos="900"/>
          <w:tab w:val="left" w:pos="1170"/>
        </w:tabs>
        <w:ind w:left="900" w:hanging="540"/>
        <w:jc w:val="both"/>
        <w:rPr>
          <w:rFonts w:ascii="Times New Roman" w:hAnsi="Times New Roman"/>
          <w:sz w:val="24"/>
        </w:rPr>
      </w:pPr>
      <w:r>
        <w:rPr>
          <w:rFonts w:ascii="Times New Roman" w:hAnsi="Times New Roman"/>
          <w:sz w:val="24"/>
        </w:rPr>
        <w:t>The Introduction describes the nature of the legal dispute.  In this class, it will always be a constitutional issue.  The description should include a very short lineage that explains how the case made its way through the lower courts.</w:t>
      </w:r>
    </w:p>
    <w:p w:rsidR="00102A6E" w:rsidRDefault="00102A6E" w:rsidP="00102A6E">
      <w:pPr>
        <w:numPr>
          <w:ilvl w:val="0"/>
          <w:numId w:val="1"/>
        </w:numPr>
        <w:tabs>
          <w:tab w:val="clear" w:pos="1440"/>
          <w:tab w:val="left" w:pos="900"/>
          <w:tab w:val="num" w:pos="1350"/>
        </w:tabs>
        <w:ind w:left="900" w:hanging="540"/>
        <w:jc w:val="both"/>
        <w:rPr>
          <w:rFonts w:ascii="Times New Roman" w:hAnsi="Times New Roman"/>
          <w:sz w:val="24"/>
        </w:rPr>
      </w:pPr>
      <w:r>
        <w:rPr>
          <w:rFonts w:ascii="Times New Roman" w:hAnsi="Times New Roman"/>
          <w:sz w:val="24"/>
        </w:rPr>
        <w:t>The Summary presents important facts of the case, especially those that are being argued.  It should be no more than one (1) page long.  Most students fail to identify salient issues and provide long, overly broad and tedious summaries.</w:t>
      </w:r>
    </w:p>
    <w:p w:rsidR="00102A6E" w:rsidRDefault="00102A6E" w:rsidP="00102A6E">
      <w:pPr>
        <w:numPr>
          <w:ilvl w:val="0"/>
          <w:numId w:val="1"/>
        </w:numPr>
        <w:tabs>
          <w:tab w:val="clear" w:pos="1440"/>
          <w:tab w:val="left" w:pos="900"/>
          <w:tab w:val="num" w:pos="1350"/>
        </w:tabs>
        <w:ind w:left="900" w:hanging="540"/>
        <w:jc w:val="both"/>
        <w:rPr>
          <w:rFonts w:ascii="Times New Roman" w:hAnsi="Times New Roman"/>
          <w:sz w:val="24"/>
        </w:rPr>
      </w:pPr>
      <w:r>
        <w:rPr>
          <w:rFonts w:ascii="Times New Roman" w:hAnsi="Times New Roman"/>
          <w:sz w:val="24"/>
        </w:rPr>
        <w:t>The Majority Opinion summarizes the majority (ruling) decision.  Well written summaries require students to understand and distill complex issues.</w:t>
      </w:r>
    </w:p>
    <w:p w:rsidR="00102A6E" w:rsidRDefault="00102A6E" w:rsidP="00102A6E">
      <w:pPr>
        <w:numPr>
          <w:ilvl w:val="0"/>
          <w:numId w:val="1"/>
        </w:numPr>
        <w:tabs>
          <w:tab w:val="clear" w:pos="1440"/>
          <w:tab w:val="num" w:pos="900"/>
        </w:tabs>
        <w:ind w:left="900" w:hanging="540"/>
        <w:jc w:val="both"/>
        <w:rPr>
          <w:rFonts w:ascii="Times New Roman" w:hAnsi="Times New Roman"/>
          <w:sz w:val="24"/>
        </w:rPr>
      </w:pPr>
      <w:r>
        <w:rPr>
          <w:rFonts w:ascii="Times New Roman" w:hAnsi="Times New Roman"/>
          <w:sz w:val="24"/>
        </w:rPr>
        <w:t>The</w:t>
      </w:r>
      <w:r w:rsidRPr="004E471D">
        <w:rPr>
          <w:rFonts w:ascii="Times New Roman" w:hAnsi="Times New Roman"/>
          <w:sz w:val="24"/>
        </w:rPr>
        <w:t xml:space="preserve"> Dissenting Opinion argues against the Majority Opinion.  Not every case has a Dissenting Opinion.  Sometimes, Dissenting Opinions are more interesting and insightful than Majority Opinions.  </w:t>
      </w:r>
    </w:p>
    <w:p w:rsidR="00FB1345" w:rsidRDefault="00FB1345" w:rsidP="00102A6E">
      <w:pPr>
        <w:numPr>
          <w:ilvl w:val="0"/>
          <w:numId w:val="1"/>
        </w:numPr>
        <w:tabs>
          <w:tab w:val="clear" w:pos="1440"/>
          <w:tab w:val="num" w:pos="900"/>
        </w:tabs>
        <w:ind w:left="900" w:hanging="540"/>
        <w:jc w:val="both"/>
        <w:rPr>
          <w:rFonts w:ascii="Times New Roman" w:hAnsi="Times New Roman"/>
          <w:sz w:val="24"/>
        </w:rPr>
      </w:pPr>
      <w:r>
        <w:rPr>
          <w:rFonts w:ascii="Times New Roman" w:hAnsi="Times New Roman"/>
          <w:sz w:val="24"/>
        </w:rPr>
        <w:t xml:space="preserve">About 4 pages in length. </w:t>
      </w:r>
      <w:bookmarkStart w:id="0" w:name="_GoBack"/>
      <w:bookmarkEnd w:id="0"/>
    </w:p>
    <w:p w:rsidR="00102A6E" w:rsidRPr="004E471D" w:rsidRDefault="00102A6E" w:rsidP="00102A6E">
      <w:pPr>
        <w:ind w:left="1080"/>
        <w:jc w:val="both"/>
        <w:rPr>
          <w:rFonts w:ascii="Times New Roman" w:hAnsi="Times New Roman"/>
          <w:sz w:val="24"/>
        </w:rPr>
      </w:pPr>
    </w:p>
    <w:p w:rsidR="00102A6E" w:rsidRDefault="00102A6E" w:rsidP="00102A6E">
      <w:pPr>
        <w:jc w:val="both"/>
        <w:rPr>
          <w:rFonts w:ascii="Times New Roman" w:hAnsi="Times New Roman"/>
          <w:sz w:val="24"/>
        </w:rPr>
      </w:pPr>
      <w:r>
        <w:rPr>
          <w:rFonts w:ascii="Times New Roman" w:hAnsi="Times New Roman"/>
          <w:sz w:val="24"/>
        </w:rPr>
        <w:t xml:space="preserve">The highest grades will be given to mini-briefs that convey understanding of the ideas expressed by the Justices in making their decisions. </w:t>
      </w:r>
    </w:p>
    <w:p w:rsidR="00102A6E" w:rsidRDefault="00102A6E" w:rsidP="00102A6E">
      <w:pPr>
        <w:jc w:val="both"/>
        <w:rPr>
          <w:rFonts w:ascii="Times New Roman" w:hAnsi="Times New Roman"/>
          <w:sz w:val="24"/>
        </w:rPr>
      </w:pPr>
    </w:p>
    <w:p w:rsidR="006F6261" w:rsidRDefault="00FB1345">
      <w:pPr>
        <w:rPr>
          <w:rFonts w:ascii="Times New Roman" w:hAnsi="Times New Roman"/>
          <w:sz w:val="24"/>
          <w:szCs w:val="24"/>
        </w:rPr>
      </w:pPr>
    </w:p>
    <w:p w:rsidR="00102A6E" w:rsidRDefault="00102A6E">
      <w:pPr>
        <w:rPr>
          <w:rFonts w:ascii="Times New Roman" w:hAnsi="Times New Roman"/>
          <w:sz w:val="24"/>
          <w:szCs w:val="24"/>
        </w:rPr>
      </w:pPr>
      <w:r>
        <w:rPr>
          <w:rFonts w:ascii="Times New Roman" w:hAnsi="Times New Roman"/>
          <w:sz w:val="24"/>
          <w:szCs w:val="24"/>
        </w:rPr>
        <w:t xml:space="preserve">MINI-BRIEF TOPIC: </w:t>
      </w:r>
    </w:p>
    <w:p w:rsidR="00102A6E" w:rsidRDefault="00102A6E">
      <w:pPr>
        <w:rPr>
          <w:rFonts w:ascii="Times New Roman" w:hAnsi="Times New Roman"/>
          <w:sz w:val="24"/>
          <w:szCs w:val="24"/>
        </w:rPr>
      </w:pPr>
    </w:p>
    <w:p w:rsidR="00102A6E" w:rsidRPr="00F428E2" w:rsidRDefault="00102A6E" w:rsidP="00102A6E">
      <w:pPr>
        <w:pStyle w:val="BodyTextIndent2"/>
        <w:numPr>
          <w:ilvl w:val="0"/>
          <w:numId w:val="2"/>
        </w:numPr>
        <w:ind w:left="360"/>
        <w:rPr>
          <w:b/>
          <w:iCs/>
          <w:szCs w:val="24"/>
        </w:rPr>
      </w:pPr>
      <w:r w:rsidRPr="00F428E2">
        <w:rPr>
          <w:iCs/>
          <w:szCs w:val="24"/>
        </w:rPr>
        <w:t xml:space="preserve">Mini-Brief #2- </w:t>
      </w:r>
      <w:r w:rsidRPr="00B45FD8">
        <w:rPr>
          <w:b/>
          <w:iCs/>
          <w:szCs w:val="24"/>
        </w:rPr>
        <w:t>PEARSON v. CALLAHAN (2009</w:t>
      </w:r>
      <w:r w:rsidRPr="00B47055">
        <w:rPr>
          <w:b/>
          <w:iCs/>
          <w:szCs w:val="24"/>
        </w:rPr>
        <w:t>), 129 S. Ct. 808.</w:t>
      </w:r>
      <w:r w:rsidRPr="00F428E2">
        <w:rPr>
          <w:iCs/>
          <w:szCs w:val="24"/>
        </w:rPr>
        <w:t xml:space="preserve">  </w:t>
      </w:r>
      <w:r>
        <w:rPr>
          <w:iCs/>
          <w:szCs w:val="24"/>
        </w:rPr>
        <w:t>Clarified SAUCIER v. KATZ (2001) and HARLOW v. FITZGERALD (1982).  These cases e</w:t>
      </w:r>
      <w:r w:rsidRPr="00F428E2">
        <w:rPr>
          <w:iCs/>
          <w:szCs w:val="24"/>
        </w:rPr>
        <w:t>stablished qualified (and absolute) immunity for government officials, including police officers.</w:t>
      </w:r>
      <w:r>
        <w:rPr>
          <w:iCs/>
          <w:szCs w:val="24"/>
        </w:rPr>
        <w:t xml:space="preserve">  </w:t>
      </w:r>
    </w:p>
    <w:p w:rsidR="00102A6E" w:rsidRPr="00102A6E" w:rsidRDefault="00102A6E">
      <w:pPr>
        <w:rPr>
          <w:rFonts w:ascii="Times New Roman" w:hAnsi="Times New Roman"/>
          <w:sz w:val="24"/>
          <w:szCs w:val="24"/>
        </w:rPr>
      </w:pPr>
    </w:p>
    <w:sectPr w:rsidR="00102A6E" w:rsidRPr="00102A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Bodoni-WP">
    <w:panose1 w:val="00000000000000000000"/>
    <w:charset w:val="02"/>
    <w:family w:val="roman"/>
    <w:notTrueType/>
    <w:pitch w:val="variable"/>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C625B5"/>
    <w:multiLevelType w:val="hybridMultilevel"/>
    <w:tmpl w:val="0D0E510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3C5D7220"/>
    <w:multiLevelType w:val="hybridMultilevel"/>
    <w:tmpl w:val="7A9422F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A6E"/>
    <w:rsid w:val="00102A6E"/>
    <w:rsid w:val="00163B96"/>
    <w:rsid w:val="005E42AB"/>
    <w:rsid w:val="00FB13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88C94"/>
  <w15:chartTrackingRefBased/>
  <w15:docId w15:val="{F2E08A7F-2A5A-4F74-9173-58BC5E561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02A6E"/>
    <w:pPr>
      <w:spacing w:after="0" w:line="240" w:lineRule="auto"/>
    </w:pPr>
    <w:rPr>
      <w:rFonts w:ascii="Bodoni-WP" w:eastAsia="Times New Roman" w:hAnsi="Bodoni-WP"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102A6E"/>
    <w:pPr>
      <w:ind w:firstLine="720"/>
    </w:pPr>
    <w:rPr>
      <w:rFonts w:ascii="Times New Roman" w:hAnsi="Times New Roman"/>
      <w:color w:val="000000"/>
      <w:sz w:val="24"/>
      <w:szCs w:val="21"/>
    </w:rPr>
  </w:style>
  <w:style w:type="character" w:customStyle="1" w:styleId="BodyTextIndent2Char">
    <w:name w:val="Body Text Indent 2 Char"/>
    <w:basedOn w:val="DefaultParagraphFont"/>
    <w:link w:val="BodyTextIndent2"/>
    <w:rsid w:val="00102A6E"/>
    <w:rPr>
      <w:rFonts w:ascii="Times New Roman" w:eastAsia="Times New Roman" w:hAnsi="Times New Roman" w:cs="Times New Roman"/>
      <w:color w:val="000000"/>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220</Words>
  <Characters>1255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Taybaa Wazin</dc:creator>
  <cp:keywords/>
  <dc:description/>
  <cp:lastModifiedBy>Taybaa Wazin</cp:lastModifiedBy>
  <cp:revision>2</cp:revision>
  <dcterms:created xsi:type="dcterms:W3CDTF">2018-09-27T19:09:00Z</dcterms:created>
  <dcterms:modified xsi:type="dcterms:W3CDTF">2018-09-27T19:12:00Z</dcterms:modified>
</cp:coreProperties>
</file>